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487B" w14:textId="77777777" w:rsidR="00CD5D4E" w:rsidRPr="00CD5D4E" w:rsidRDefault="00CD5D4E" w:rsidP="00CD5D4E">
      <w:r w:rsidRPr="00CD5D4E">
        <w:t>Section 3. Charter Schools and Dual Enrollment </w:t>
      </w:r>
    </w:p>
    <w:p w14:paraId="763AFF40" w14:textId="505F24DF" w:rsidR="00CD5D4E" w:rsidRDefault="00CD5D4E" w:rsidP="00CD5D4E">
      <w:pPr>
        <w:rPr>
          <w:color w:val="C00000"/>
        </w:rPr>
      </w:pPr>
      <w:r w:rsidRPr="00CD5D4E">
        <w:t>Under Section</w:t>
      </w:r>
      <w:r>
        <w:t xml:space="preserve"> </w:t>
      </w:r>
      <w:r w:rsidRPr="00CD5D4E">
        <w:rPr>
          <w:color w:val="004E9A"/>
        </w:rPr>
        <w:t>33-203</w:t>
      </w:r>
      <w:r w:rsidRPr="00CD5D4E">
        <w:t xml:space="preserve"> </w:t>
      </w:r>
      <w:r w:rsidRPr="00CD5D4E">
        <w:rPr>
          <w:strike/>
          <w:color w:val="C00000"/>
        </w:rPr>
        <w:t>33-204</w:t>
      </w:r>
      <w:r w:rsidRPr="00CD5D4E">
        <w:t xml:space="preserve">, Idaho Code, parents of public charter school students </w:t>
      </w:r>
      <w:r w:rsidRPr="00CD5D4E">
        <w:rPr>
          <w:strike/>
          <w:color w:val="C00000"/>
        </w:rPr>
        <w:t>“shall be allowed to enroll the student in a public school for dual enrollment purposes.”</w:t>
      </w:r>
      <w:r w:rsidRPr="00CD5D4E">
        <w:rPr>
          <w:color w:val="C00000"/>
        </w:rPr>
        <w:t xml:space="preserve"> </w:t>
      </w:r>
      <w:r w:rsidRPr="00FC59E5">
        <w:rPr>
          <w:color w:val="0070C0"/>
        </w:rPr>
        <w:t>“</w:t>
      </w:r>
      <w:proofErr w:type="gramStart"/>
      <w:r w:rsidRPr="00FC59E5">
        <w:rPr>
          <w:color w:val="0070C0"/>
        </w:rPr>
        <w:t>shall</w:t>
      </w:r>
      <w:proofErr w:type="gramEnd"/>
      <w:r w:rsidRPr="00FC59E5">
        <w:rPr>
          <w:color w:val="0070C0"/>
        </w:rPr>
        <w:t xml:space="preserve"> be allowed to enroll the student in any public school, including another public charter school, for dual enrollment purposes.”</w:t>
      </w:r>
      <w:r>
        <w:t xml:space="preserve">  </w:t>
      </w:r>
      <w:r w:rsidRPr="00CD5D4E">
        <w:t xml:space="preserve">Special education services (specially designed instruction and </w:t>
      </w:r>
      <w:r w:rsidRPr="00CD5D4E">
        <w:rPr>
          <w:color w:val="004E9A"/>
        </w:rPr>
        <w:t>related</w:t>
      </w:r>
      <w:r w:rsidRPr="00CD5D4E">
        <w:t xml:space="preserve"> services calculated to meet the unique needs of a student with a disability) shall be </w:t>
      </w:r>
      <w:r>
        <w:rPr>
          <w:color w:val="004E9A"/>
        </w:rPr>
        <w:t xml:space="preserve">provided in all </w:t>
      </w:r>
      <w:proofErr w:type="gramStart"/>
      <w:r>
        <w:rPr>
          <w:color w:val="004E9A"/>
        </w:rPr>
        <w:t>public school</w:t>
      </w:r>
      <w:proofErr w:type="gramEnd"/>
      <w:r>
        <w:rPr>
          <w:color w:val="004E9A"/>
        </w:rPr>
        <w:t xml:space="preserve"> settings. </w:t>
      </w:r>
      <w:r w:rsidRPr="00CD5D4E">
        <w:rPr>
          <w:strike/>
          <w:color w:val="C00000"/>
        </w:rPr>
        <w:t>the obligation of the public charter school.</w:t>
      </w:r>
      <w:r w:rsidRPr="00CD5D4E">
        <w:rPr>
          <w:color w:val="C00000"/>
        </w:rPr>
        <w:t xml:space="preserve"> </w:t>
      </w:r>
    </w:p>
    <w:p w14:paraId="00132DB1" w14:textId="434CD959" w:rsidR="00CD5D4E" w:rsidRPr="00CD5D4E" w:rsidRDefault="00CD5D4E" w:rsidP="00CD5D4E">
      <w:r w:rsidRPr="00CD5D4E">
        <w:t xml:space="preserve">The </w:t>
      </w:r>
      <w:r w:rsidRPr="00CD5D4E">
        <w:rPr>
          <w:color w:val="004E9A"/>
        </w:rPr>
        <w:t>LEA</w:t>
      </w:r>
      <w:r w:rsidRPr="00CD5D4E">
        <w:t xml:space="preserve"> </w:t>
      </w:r>
      <w:r w:rsidRPr="00CD5D4E">
        <w:rPr>
          <w:strike/>
          <w:color w:val="C00000"/>
        </w:rPr>
        <w:t>district</w:t>
      </w:r>
      <w:r w:rsidRPr="00CD5D4E">
        <w:t xml:space="preserve"> shall allow public charter school students who are eligible for special education and who are otherwise qualified to participate in school programs under the dual enrollment law to:  </w:t>
      </w:r>
    </w:p>
    <w:p w14:paraId="7ACC8AD5" w14:textId="77777777" w:rsidR="00CD5D4E" w:rsidRPr="00CD5D4E" w:rsidRDefault="00CD5D4E" w:rsidP="00CD5D4E">
      <w:pPr>
        <w:numPr>
          <w:ilvl w:val="0"/>
          <w:numId w:val="1"/>
        </w:numPr>
      </w:pPr>
      <w:r w:rsidRPr="00CD5D4E">
        <w:t>enroll in general education courses under the same criteria and conditions as students without disabilities; and </w:t>
      </w:r>
    </w:p>
    <w:p w14:paraId="13F6FBAE" w14:textId="77777777" w:rsidR="00CD5D4E" w:rsidRPr="00CD5D4E" w:rsidRDefault="00CD5D4E" w:rsidP="00CD5D4E">
      <w:pPr>
        <w:numPr>
          <w:ilvl w:val="0"/>
          <w:numId w:val="2"/>
        </w:numPr>
      </w:pPr>
      <w:r w:rsidRPr="00CD5D4E">
        <w:rPr>
          <w:color w:val="004E9A"/>
        </w:rPr>
        <w:t xml:space="preserve">continue to access FAPE as outlined in the IEP developed by the public charter school, including receiving accommodations in the general education courses in which they are enrolled. </w:t>
      </w:r>
      <w:r w:rsidRPr="00CD5D4E">
        <w:rPr>
          <w:strike/>
          <w:color w:val="C00000"/>
        </w:rPr>
        <w:t>receive accommodations in the general education courses for which they are enrolled on a 504 plan, if needed.</w:t>
      </w:r>
      <w:r w:rsidRPr="00CD5D4E">
        <w:rPr>
          <w:color w:val="C00000"/>
        </w:rPr>
        <w:t> </w:t>
      </w:r>
    </w:p>
    <w:p w14:paraId="0521EB80" w14:textId="401C2635" w:rsidR="00CD5D4E" w:rsidRDefault="00CD5D4E" w:rsidP="00CD5D4E">
      <w:r w:rsidRPr="00CD5D4E">
        <w:t xml:space="preserve">Public charter school students may not dually enroll solely for special education </w:t>
      </w:r>
      <w:r w:rsidRPr="00CD5D4E">
        <w:rPr>
          <w:color w:val="004E9A"/>
        </w:rPr>
        <w:t>services</w:t>
      </w:r>
      <w:r w:rsidRPr="00CD5D4E">
        <w:t>. </w:t>
      </w:r>
    </w:p>
    <w:p w14:paraId="05777914" w14:textId="0146FCF6" w:rsidR="00CD5D4E" w:rsidRPr="00CD5D4E" w:rsidRDefault="00CD5D4E" w:rsidP="00CD5D4E">
      <w:pPr>
        <w:rPr>
          <w:color w:val="004E9A"/>
        </w:rPr>
      </w:pPr>
      <w:r w:rsidRPr="00CD5D4E">
        <w:rPr>
          <w:color w:val="004E9A"/>
        </w:rPr>
        <w:t xml:space="preserve">Idaho Code 33-203 does not provide for dual enrollment between two traditional </w:t>
      </w:r>
      <w:proofErr w:type="gramStart"/>
      <w:r w:rsidRPr="00CD5D4E">
        <w:rPr>
          <w:color w:val="004E9A"/>
        </w:rPr>
        <w:t>public school</w:t>
      </w:r>
      <w:proofErr w:type="gramEnd"/>
      <w:r w:rsidRPr="00CD5D4E">
        <w:rPr>
          <w:color w:val="004E9A"/>
        </w:rPr>
        <w:t xml:space="preserve"> districts.  However, some districts choose to enter into agreements such as a Memorandum of Understanding (MOU) to exchange or share students to provide a broad array of educational opportunities to all students. </w:t>
      </w:r>
    </w:p>
    <w:p w14:paraId="01544434" w14:textId="4F829A95" w:rsidR="00CD5D4E" w:rsidRPr="00AD1404" w:rsidRDefault="00CD5D4E" w:rsidP="00CD5D4E">
      <w:pPr>
        <w:rPr>
          <w:color w:val="004E9A"/>
        </w:rPr>
      </w:pPr>
      <w:r w:rsidRPr="383279D8">
        <w:rPr>
          <w:color w:val="004E9A"/>
        </w:rPr>
        <w:t xml:space="preserve">In every case, one LEA maintains primary responsibility for the development, coordination, and implementation of the IEP to ensure that FAPE is provided to the student in every </w:t>
      </w:r>
      <w:proofErr w:type="gramStart"/>
      <w:r w:rsidRPr="383279D8">
        <w:rPr>
          <w:color w:val="004E9A"/>
        </w:rPr>
        <w:t>public school</w:t>
      </w:r>
      <w:proofErr w:type="gramEnd"/>
      <w:r w:rsidRPr="383279D8">
        <w:rPr>
          <w:color w:val="004E9A"/>
        </w:rPr>
        <w:t xml:space="preserve"> setting in which the student participates. </w:t>
      </w:r>
      <w:r w:rsidR="00AD1404" w:rsidRPr="383279D8">
        <w:rPr>
          <w:color w:val="004E9A"/>
        </w:rPr>
        <w:t>Primary responsibility for FAPE shall be determined as follows:</w:t>
      </w:r>
    </w:p>
    <w:tbl>
      <w:tblPr>
        <w:tblStyle w:val="TableGrid"/>
        <w:tblW w:w="0" w:type="auto"/>
        <w:tblLook w:val="04A0" w:firstRow="1" w:lastRow="0" w:firstColumn="1" w:lastColumn="0" w:noHBand="0" w:noVBand="1"/>
      </w:tblPr>
      <w:tblGrid>
        <w:gridCol w:w="2785"/>
        <w:gridCol w:w="2790"/>
        <w:gridCol w:w="3775"/>
      </w:tblGrid>
      <w:tr w:rsidR="00AD1404" w:rsidRPr="00AD1404" w14:paraId="3F12B296" w14:textId="77777777" w:rsidTr="424785B1">
        <w:tc>
          <w:tcPr>
            <w:tcW w:w="5575" w:type="dxa"/>
            <w:gridSpan w:val="2"/>
          </w:tcPr>
          <w:p w14:paraId="7E7557F7" w14:textId="4645C678" w:rsidR="00AD1404" w:rsidRPr="00AD1404" w:rsidRDefault="00AD1404" w:rsidP="00AD1404">
            <w:pPr>
              <w:jc w:val="center"/>
              <w:rPr>
                <w:b/>
                <w:bCs/>
                <w:color w:val="004E9A"/>
              </w:rPr>
            </w:pPr>
            <w:r w:rsidRPr="00AD1404">
              <w:rPr>
                <w:b/>
                <w:bCs/>
                <w:color w:val="004E9A"/>
              </w:rPr>
              <w:t>Enrollments</w:t>
            </w:r>
          </w:p>
        </w:tc>
        <w:tc>
          <w:tcPr>
            <w:tcW w:w="3775" w:type="dxa"/>
          </w:tcPr>
          <w:p w14:paraId="76BCABAB" w14:textId="225B24A4" w:rsidR="00AD1404" w:rsidRPr="00AD1404" w:rsidRDefault="00AD1404" w:rsidP="00AD1404">
            <w:pPr>
              <w:jc w:val="center"/>
              <w:rPr>
                <w:b/>
                <w:bCs/>
                <w:color w:val="004E9A"/>
              </w:rPr>
            </w:pPr>
            <w:r w:rsidRPr="00AD1404">
              <w:rPr>
                <w:b/>
                <w:bCs/>
                <w:color w:val="004E9A"/>
              </w:rPr>
              <w:t>Primary Responsibility for FAPE</w:t>
            </w:r>
          </w:p>
        </w:tc>
      </w:tr>
      <w:tr w:rsidR="00AD1404" w:rsidRPr="00AD1404" w14:paraId="6D8D27CE" w14:textId="77777777" w:rsidTr="424785B1">
        <w:tc>
          <w:tcPr>
            <w:tcW w:w="2785" w:type="dxa"/>
          </w:tcPr>
          <w:p w14:paraId="6927E549" w14:textId="233AF60A" w:rsidR="00AD1404" w:rsidRPr="00AD1404" w:rsidRDefault="00AD1404" w:rsidP="00CD5D4E">
            <w:pPr>
              <w:rPr>
                <w:color w:val="004E9A"/>
              </w:rPr>
            </w:pPr>
            <w:r w:rsidRPr="00AD1404">
              <w:rPr>
                <w:color w:val="004E9A"/>
              </w:rPr>
              <w:t xml:space="preserve">Public Charter School </w:t>
            </w:r>
          </w:p>
        </w:tc>
        <w:tc>
          <w:tcPr>
            <w:tcW w:w="2790" w:type="dxa"/>
          </w:tcPr>
          <w:p w14:paraId="3A94143C" w14:textId="3E9F8D6A" w:rsidR="00AD1404" w:rsidRPr="00AD1404" w:rsidRDefault="00AD1404" w:rsidP="00CD5D4E">
            <w:pPr>
              <w:rPr>
                <w:color w:val="004E9A"/>
              </w:rPr>
            </w:pPr>
            <w:r w:rsidRPr="00AD1404">
              <w:rPr>
                <w:color w:val="004E9A"/>
              </w:rPr>
              <w:t>Traditional Public School</w:t>
            </w:r>
          </w:p>
        </w:tc>
        <w:tc>
          <w:tcPr>
            <w:tcW w:w="3775" w:type="dxa"/>
          </w:tcPr>
          <w:p w14:paraId="5DD91F28" w14:textId="0CBD2516" w:rsidR="00AD1404" w:rsidRPr="00AD1404" w:rsidRDefault="00AD1404" w:rsidP="00CD5D4E">
            <w:pPr>
              <w:rPr>
                <w:color w:val="004E9A"/>
              </w:rPr>
            </w:pPr>
            <w:r w:rsidRPr="00AD1404">
              <w:rPr>
                <w:color w:val="004E9A"/>
              </w:rPr>
              <w:t>Public Charter School</w:t>
            </w:r>
          </w:p>
        </w:tc>
      </w:tr>
      <w:tr w:rsidR="00AD1404" w:rsidRPr="00AD1404" w14:paraId="66B06770" w14:textId="77777777" w:rsidTr="424785B1">
        <w:tc>
          <w:tcPr>
            <w:tcW w:w="2785" w:type="dxa"/>
          </w:tcPr>
          <w:p w14:paraId="21FA31EF" w14:textId="4D8E4B34" w:rsidR="00AD1404" w:rsidRPr="00AD1404" w:rsidRDefault="00AD1404" w:rsidP="00CD5D4E">
            <w:pPr>
              <w:rPr>
                <w:color w:val="004E9A"/>
              </w:rPr>
            </w:pPr>
            <w:r w:rsidRPr="00AD1404">
              <w:rPr>
                <w:color w:val="004E9A"/>
              </w:rPr>
              <w:t>Public Charter School</w:t>
            </w:r>
          </w:p>
        </w:tc>
        <w:tc>
          <w:tcPr>
            <w:tcW w:w="2790" w:type="dxa"/>
          </w:tcPr>
          <w:p w14:paraId="165A721F" w14:textId="66E7FB68" w:rsidR="00AD1404" w:rsidRPr="00AD1404" w:rsidRDefault="00AD1404" w:rsidP="00CD5D4E">
            <w:pPr>
              <w:rPr>
                <w:color w:val="004E9A"/>
              </w:rPr>
            </w:pPr>
            <w:r w:rsidRPr="00AD1404">
              <w:rPr>
                <w:color w:val="004E9A"/>
              </w:rPr>
              <w:t>Public Charter School</w:t>
            </w:r>
          </w:p>
        </w:tc>
        <w:tc>
          <w:tcPr>
            <w:tcW w:w="3775" w:type="dxa"/>
          </w:tcPr>
          <w:p w14:paraId="26D8D000" w14:textId="008B8AFF" w:rsidR="00AD1404" w:rsidRPr="00AD1404" w:rsidRDefault="00AD1404" w:rsidP="00CD5D4E">
            <w:pPr>
              <w:rPr>
                <w:color w:val="004E9A"/>
              </w:rPr>
            </w:pPr>
            <w:r w:rsidRPr="00AD1404">
              <w:rPr>
                <w:color w:val="004E9A"/>
              </w:rPr>
              <w:t>School in which the student spends the majority of the school day.</w:t>
            </w:r>
          </w:p>
        </w:tc>
      </w:tr>
      <w:tr w:rsidR="00AD1404" w:rsidRPr="00AD1404" w14:paraId="2D86EB75" w14:textId="77777777" w:rsidTr="424785B1">
        <w:tc>
          <w:tcPr>
            <w:tcW w:w="2785" w:type="dxa"/>
          </w:tcPr>
          <w:p w14:paraId="17DE4B8C" w14:textId="4CD493C7" w:rsidR="00AD1404" w:rsidRPr="00AD1404" w:rsidRDefault="00AD1404" w:rsidP="00CD5D4E">
            <w:pPr>
              <w:rPr>
                <w:color w:val="004E9A"/>
              </w:rPr>
            </w:pPr>
            <w:r w:rsidRPr="00AD1404">
              <w:rPr>
                <w:color w:val="004E9A"/>
              </w:rPr>
              <w:t>Traditional Public School</w:t>
            </w:r>
          </w:p>
        </w:tc>
        <w:tc>
          <w:tcPr>
            <w:tcW w:w="2790" w:type="dxa"/>
          </w:tcPr>
          <w:p w14:paraId="46050756" w14:textId="1236135C" w:rsidR="00AD1404" w:rsidRPr="00AD1404" w:rsidRDefault="00AD1404" w:rsidP="00CD5D4E">
            <w:pPr>
              <w:rPr>
                <w:color w:val="004E9A"/>
              </w:rPr>
            </w:pPr>
            <w:r w:rsidRPr="00AD1404">
              <w:rPr>
                <w:color w:val="004E9A"/>
              </w:rPr>
              <w:t>Traditional Public School</w:t>
            </w:r>
          </w:p>
        </w:tc>
        <w:tc>
          <w:tcPr>
            <w:tcW w:w="3775" w:type="dxa"/>
          </w:tcPr>
          <w:p w14:paraId="49F7410A" w14:textId="562C3CA4" w:rsidR="00AD1404" w:rsidRPr="00AD1404" w:rsidRDefault="00AD1404" w:rsidP="00CD5D4E">
            <w:pPr>
              <w:rPr>
                <w:color w:val="004E9A"/>
              </w:rPr>
            </w:pPr>
            <w:r w:rsidRPr="00AD1404">
              <w:rPr>
                <w:color w:val="004E9A"/>
              </w:rPr>
              <w:t>Student’s District of Residence*</w:t>
            </w:r>
          </w:p>
        </w:tc>
      </w:tr>
      <w:tr w:rsidR="00AD1404" w:rsidRPr="00AD1404" w14:paraId="4F19606E" w14:textId="77777777" w:rsidTr="424785B1">
        <w:tc>
          <w:tcPr>
            <w:tcW w:w="9350" w:type="dxa"/>
            <w:gridSpan w:val="3"/>
          </w:tcPr>
          <w:p w14:paraId="02B0AE3F" w14:textId="42D0385F" w:rsidR="00AD1404" w:rsidRPr="00AD1404" w:rsidRDefault="00AD1404" w:rsidP="00CD5D4E">
            <w:pPr>
              <w:rPr>
                <w:color w:val="004E9A"/>
              </w:rPr>
            </w:pPr>
            <w:r w:rsidRPr="424785B1">
              <w:rPr>
                <w:color w:val="004E9A"/>
              </w:rPr>
              <w:t xml:space="preserve">* If neither traditional school district is the student’s resident school district, the district in which the student has accessed open enrollment shall have the primary responsibility for the provision of FAPE for the student. </w:t>
            </w:r>
          </w:p>
        </w:tc>
      </w:tr>
    </w:tbl>
    <w:p w14:paraId="7CB302A2" w14:textId="77777777" w:rsidR="00AD1404" w:rsidRDefault="00AD1404" w:rsidP="00CD5D4E">
      <w:pPr>
        <w:rPr>
          <w:color w:val="004E9A"/>
        </w:rPr>
      </w:pPr>
    </w:p>
    <w:p w14:paraId="41836D85" w14:textId="3DB771AD" w:rsidR="00AD1404" w:rsidRPr="00CD5D4E" w:rsidRDefault="00AD1404" w:rsidP="00CD5D4E">
      <w:pPr>
        <w:rPr>
          <w:color w:val="004E9A"/>
        </w:rPr>
      </w:pPr>
      <w:r w:rsidRPr="424785B1">
        <w:rPr>
          <w:color w:val="004E9A"/>
        </w:rPr>
        <w:lastRenderedPageBreak/>
        <w:t xml:space="preserve">The LEA with primary responsibility for the provision of FAPE shall ensure that the IEP is implemented in both </w:t>
      </w:r>
      <w:proofErr w:type="gramStart"/>
      <w:r w:rsidRPr="424785B1">
        <w:rPr>
          <w:color w:val="004E9A"/>
        </w:rPr>
        <w:t>public school</w:t>
      </w:r>
      <w:proofErr w:type="gramEnd"/>
      <w:r w:rsidRPr="424785B1">
        <w:rPr>
          <w:color w:val="004E9A"/>
        </w:rPr>
        <w:t xml:space="preserve"> LEAs. The LEA with secondary responsibility for the implementation of the IEP and the provision of FAPE shall engage in a cooperative relationship with the primary LEA and support the provision of FAPE in the secondary LEA’s environment. It is recommended tha</w:t>
      </w:r>
      <w:r w:rsidR="00857FE4" w:rsidRPr="424785B1">
        <w:rPr>
          <w:color w:val="004E9A"/>
        </w:rPr>
        <w:t>t the Board of Directors/Trustees of the</w:t>
      </w:r>
      <w:r w:rsidRPr="424785B1">
        <w:rPr>
          <w:color w:val="004E9A"/>
        </w:rPr>
        <w:t xml:space="preserve"> LEAs enter into a written agreement, such as a Memorandum of Understanding (MOU) to outline the responsibilities of each LEA.</w:t>
      </w:r>
    </w:p>
    <w:p w14:paraId="18C922EF" w14:textId="77777777" w:rsidR="00CD5D4E" w:rsidRPr="00CD5D4E" w:rsidRDefault="00CD5D4E" w:rsidP="00CD5D4E">
      <w:pPr>
        <w:rPr>
          <w:strike/>
          <w:color w:val="C00000"/>
        </w:rPr>
      </w:pPr>
      <w:r w:rsidRPr="00CD5D4E">
        <w:rPr>
          <w:strike/>
          <w:color w:val="C00000"/>
        </w:rPr>
        <w:t>For detailed requirements and responsibilities governing dual enrollment of charter school students, see Section 33-203, Idaho Code. </w:t>
      </w:r>
    </w:p>
    <w:p w14:paraId="7E578AAC" w14:textId="77777777" w:rsidR="00346028" w:rsidRDefault="00346028"/>
    <w:sectPr w:rsidR="00346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9A8"/>
    <w:multiLevelType w:val="multilevel"/>
    <w:tmpl w:val="7D72E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1C4300"/>
    <w:multiLevelType w:val="multilevel"/>
    <w:tmpl w:val="29261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8176022">
    <w:abstractNumId w:val="0"/>
  </w:num>
  <w:num w:numId="2" w16cid:durableId="977226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4E"/>
    <w:rsid w:val="00346028"/>
    <w:rsid w:val="00352FEB"/>
    <w:rsid w:val="007B5951"/>
    <w:rsid w:val="007D7F82"/>
    <w:rsid w:val="00857FE4"/>
    <w:rsid w:val="00944562"/>
    <w:rsid w:val="00992572"/>
    <w:rsid w:val="00AD1404"/>
    <w:rsid w:val="00CD5D4E"/>
    <w:rsid w:val="00EA31D6"/>
    <w:rsid w:val="00F12671"/>
    <w:rsid w:val="00F31C1E"/>
    <w:rsid w:val="00FC59E5"/>
    <w:rsid w:val="383279D8"/>
    <w:rsid w:val="42478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5193"/>
  <w15:chartTrackingRefBased/>
  <w15:docId w15:val="{D5BE5F8B-5FB6-4288-A6E0-8B91D2F1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D4E"/>
    <w:rPr>
      <w:rFonts w:eastAsiaTheme="majorEastAsia" w:cstheme="majorBidi"/>
      <w:color w:val="272727" w:themeColor="text1" w:themeTint="D8"/>
    </w:rPr>
  </w:style>
  <w:style w:type="paragraph" w:styleId="Title">
    <w:name w:val="Title"/>
    <w:basedOn w:val="Normal"/>
    <w:next w:val="Normal"/>
    <w:link w:val="TitleChar"/>
    <w:uiPriority w:val="10"/>
    <w:qFormat/>
    <w:rsid w:val="00CD5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D4E"/>
    <w:pPr>
      <w:spacing w:before="160"/>
      <w:jc w:val="center"/>
    </w:pPr>
    <w:rPr>
      <w:i/>
      <w:iCs/>
      <w:color w:val="404040" w:themeColor="text1" w:themeTint="BF"/>
    </w:rPr>
  </w:style>
  <w:style w:type="character" w:customStyle="1" w:styleId="QuoteChar">
    <w:name w:val="Quote Char"/>
    <w:basedOn w:val="DefaultParagraphFont"/>
    <w:link w:val="Quote"/>
    <w:uiPriority w:val="29"/>
    <w:rsid w:val="00CD5D4E"/>
    <w:rPr>
      <w:i/>
      <w:iCs/>
      <w:color w:val="404040" w:themeColor="text1" w:themeTint="BF"/>
    </w:rPr>
  </w:style>
  <w:style w:type="paragraph" w:styleId="ListParagraph">
    <w:name w:val="List Paragraph"/>
    <w:basedOn w:val="Normal"/>
    <w:uiPriority w:val="34"/>
    <w:qFormat/>
    <w:rsid w:val="00CD5D4E"/>
    <w:pPr>
      <w:ind w:left="720"/>
      <w:contextualSpacing/>
    </w:pPr>
  </w:style>
  <w:style w:type="character" w:styleId="IntenseEmphasis">
    <w:name w:val="Intense Emphasis"/>
    <w:basedOn w:val="DefaultParagraphFont"/>
    <w:uiPriority w:val="21"/>
    <w:qFormat/>
    <w:rsid w:val="00CD5D4E"/>
    <w:rPr>
      <w:i/>
      <w:iCs/>
      <w:color w:val="0F4761" w:themeColor="accent1" w:themeShade="BF"/>
    </w:rPr>
  </w:style>
  <w:style w:type="paragraph" w:styleId="IntenseQuote">
    <w:name w:val="Intense Quote"/>
    <w:basedOn w:val="Normal"/>
    <w:next w:val="Normal"/>
    <w:link w:val="IntenseQuoteChar"/>
    <w:uiPriority w:val="30"/>
    <w:qFormat/>
    <w:rsid w:val="00CD5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D4E"/>
    <w:rPr>
      <w:i/>
      <w:iCs/>
      <w:color w:val="0F4761" w:themeColor="accent1" w:themeShade="BF"/>
    </w:rPr>
  </w:style>
  <w:style w:type="character" w:styleId="IntenseReference">
    <w:name w:val="Intense Reference"/>
    <w:basedOn w:val="DefaultParagraphFont"/>
    <w:uiPriority w:val="32"/>
    <w:qFormat/>
    <w:rsid w:val="00CD5D4E"/>
    <w:rPr>
      <w:b/>
      <w:bCs/>
      <w:smallCaps/>
      <w:color w:val="0F4761" w:themeColor="accent1" w:themeShade="BF"/>
      <w:spacing w:val="5"/>
    </w:rPr>
  </w:style>
  <w:style w:type="table" w:styleId="TableGrid">
    <w:name w:val="Table Grid"/>
    <w:basedOn w:val="TableNormal"/>
    <w:uiPriority w:val="39"/>
    <w:rsid w:val="00AD1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455593">
      <w:bodyDiv w:val="1"/>
      <w:marLeft w:val="0"/>
      <w:marRight w:val="0"/>
      <w:marTop w:val="0"/>
      <w:marBottom w:val="0"/>
      <w:divBdr>
        <w:top w:val="none" w:sz="0" w:space="0" w:color="auto"/>
        <w:left w:val="none" w:sz="0" w:space="0" w:color="auto"/>
        <w:bottom w:val="none" w:sz="0" w:space="0" w:color="auto"/>
        <w:right w:val="none" w:sz="0" w:space="0" w:color="auto"/>
      </w:divBdr>
      <w:divsChild>
        <w:div w:id="5132208">
          <w:marLeft w:val="0"/>
          <w:marRight w:val="0"/>
          <w:marTop w:val="0"/>
          <w:marBottom w:val="0"/>
          <w:divBdr>
            <w:top w:val="none" w:sz="0" w:space="0" w:color="auto"/>
            <w:left w:val="none" w:sz="0" w:space="0" w:color="auto"/>
            <w:bottom w:val="none" w:sz="0" w:space="0" w:color="auto"/>
            <w:right w:val="none" w:sz="0" w:space="0" w:color="auto"/>
          </w:divBdr>
        </w:div>
        <w:div w:id="599870629">
          <w:marLeft w:val="0"/>
          <w:marRight w:val="0"/>
          <w:marTop w:val="0"/>
          <w:marBottom w:val="0"/>
          <w:divBdr>
            <w:top w:val="none" w:sz="0" w:space="0" w:color="auto"/>
            <w:left w:val="none" w:sz="0" w:space="0" w:color="auto"/>
            <w:bottom w:val="none" w:sz="0" w:space="0" w:color="auto"/>
            <w:right w:val="none" w:sz="0" w:space="0" w:color="auto"/>
          </w:divBdr>
        </w:div>
        <w:div w:id="1815440461">
          <w:marLeft w:val="0"/>
          <w:marRight w:val="0"/>
          <w:marTop w:val="0"/>
          <w:marBottom w:val="0"/>
          <w:divBdr>
            <w:top w:val="none" w:sz="0" w:space="0" w:color="auto"/>
            <w:left w:val="none" w:sz="0" w:space="0" w:color="auto"/>
            <w:bottom w:val="none" w:sz="0" w:space="0" w:color="auto"/>
            <w:right w:val="none" w:sz="0" w:space="0" w:color="auto"/>
          </w:divBdr>
        </w:div>
        <w:div w:id="1361393004">
          <w:marLeft w:val="0"/>
          <w:marRight w:val="0"/>
          <w:marTop w:val="0"/>
          <w:marBottom w:val="0"/>
          <w:divBdr>
            <w:top w:val="none" w:sz="0" w:space="0" w:color="auto"/>
            <w:left w:val="none" w:sz="0" w:space="0" w:color="auto"/>
            <w:bottom w:val="none" w:sz="0" w:space="0" w:color="auto"/>
            <w:right w:val="none" w:sz="0" w:space="0" w:color="auto"/>
          </w:divBdr>
        </w:div>
        <w:div w:id="1156413253">
          <w:marLeft w:val="0"/>
          <w:marRight w:val="0"/>
          <w:marTop w:val="0"/>
          <w:marBottom w:val="0"/>
          <w:divBdr>
            <w:top w:val="none" w:sz="0" w:space="0" w:color="auto"/>
            <w:left w:val="none" w:sz="0" w:space="0" w:color="auto"/>
            <w:bottom w:val="none" w:sz="0" w:space="0" w:color="auto"/>
            <w:right w:val="none" w:sz="0" w:space="0" w:color="auto"/>
          </w:divBdr>
        </w:div>
        <w:div w:id="1018459117">
          <w:marLeft w:val="0"/>
          <w:marRight w:val="0"/>
          <w:marTop w:val="0"/>
          <w:marBottom w:val="0"/>
          <w:divBdr>
            <w:top w:val="none" w:sz="0" w:space="0" w:color="auto"/>
            <w:left w:val="none" w:sz="0" w:space="0" w:color="auto"/>
            <w:bottom w:val="none" w:sz="0" w:space="0" w:color="auto"/>
            <w:right w:val="none" w:sz="0" w:space="0" w:color="auto"/>
          </w:divBdr>
        </w:div>
        <w:div w:id="1723551364">
          <w:marLeft w:val="0"/>
          <w:marRight w:val="0"/>
          <w:marTop w:val="0"/>
          <w:marBottom w:val="0"/>
          <w:divBdr>
            <w:top w:val="none" w:sz="0" w:space="0" w:color="auto"/>
            <w:left w:val="none" w:sz="0" w:space="0" w:color="auto"/>
            <w:bottom w:val="none" w:sz="0" w:space="0" w:color="auto"/>
            <w:right w:val="none" w:sz="0" w:space="0" w:color="auto"/>
          </w:divBdr>
        </w:div>
        <w:div w:id="1050615809">
          <w:marLeft w:val="0"/>
          <w:marRight w:val="0"/>
          <w:marTop w:val="0"/>
          <w:marBottom w:val="0"/>
          <w:divBdr>
            <w:top w:val="none" w:sz="0" w:space="0" w:color="auto"/>
            <w:left w:val="none" w:sz="0" w:space="0" w:color="auto"/>
            <w:bottom w:val="none" w:sz="0" w:space="0" w:color="auto"/>
            <w:right w:val="none" w:sz="0" w:space="0" w:color="auto"/>
          </w:divBdr>
        </w:div>
      </w:divsChild>
    </w:div>
    <w:div w:id="1913196604">
      <w:bodyDiv w:val="1"/>
      <w:marLeft w:val="0"/>
      <w:marRight w:val="0"/>
      <w:marTop w:val="0"/>
      <w:marBottom w:val="0"/>
      <w:divBdr>
        <w:top w:val="none" w:sz="0" w:space="0" w:color="auto"/>
        <w:left w:val="none" w:sz="0" w:space="0" w:color="auto"/>
        <w:bottom w:val="none" w:sz="0" w:space="0" w:color="auto"/>
        <w:right w:val="none" w:sz="0" w:space="0" w:color="auto"/>
      </w:divBdr>
      <w:divsChild>
        <w:div w:id="1230119885">
          <w:marLeft w:val="0"/>
          <w:marRight w:val="0"/>
          <w:marTop w:val="0"/>
          <w:marBottom w:val="0"/>
          <w:divBdr>
            <w:top w:val="none" w:sz="0" w:space="0" w:color="auto"/>
            <w:left w:val="none" w:sz="0" w:space="0" w:color="auto"/>
            <w:bottom w:val="none" w:sz="0" w:space="0" w:color="auto"/>
            <w:right w:val="none" w:sz="0" w:space="0" w:color="auto"/>
          </w:divBdr>
        </w:div>
        <w:div w:id="178548453">
          <w:marLeft w:val="0"/>
          <w:marRight w:val="0"/>
          <w:marTop w:val="0"/>
          <w:marBottom w:val="0"/>
          <w:divBdr>
            <w:top w:val="none" w:sz="0" w:space="0" w:color="auto"/>
            <w:left w:val="none" w:sz="0" w:space="0" w:color="auto"/>
            <w:bottom w:val="none" w:sz="0" w:space="0" w:color="auto"/>
            <w:right w:val="none" w:sz="0" w:space="0" w:color="auto"/>
          </w:divBdr>
        </w:div>
        <w:div w:id="2031880224">
          <w:marLeft w:val="0"/>
          <w:marRight w:val="0"/>
          <w:marTop w:val="0"/>
          <w:marBottom w:val="0"/>
          <w:divBdr>
            <w:top w:val="none" w:sz="0" w:space="0" w:color="auto"/>
            <w:left w:val="none" w:sz="0" w:space="0" w:color="auto"/>
            <w:bottom w:val="none" w:sz="0" w:space="0" w:color="auto"/>
            <w:right w:val="none" w:sz="0" w:space="0" w:color="auto"/>
          </w:divBdr>
        </w:div>
        <w:div w:id="1156410204">
          <w:marLeft w:val="0"/>
          <w:marRight w:val="0"/>
          <w:marTop w:val="0"/>
          <w:marBottom w:val="0"/>
          <w:divBdr>
            <w:top w:val="none" w:sz="0" w:space="0" w:color="auto"/>
            <w:left w:val="none" w:sz="0" w:space="0" w:color="auto"/>
            <w:bottom w:val="none" w:sz="0" w:space="0" w:color="auto"/>
            <w:right w:val="none" w:sz="0" w:space="0" w:color="auto"/>
          </w:divBdr>
        </w:div>
        <w:div w:id="46225393">
          <w:marLeft w:val="0"/>
          <w:marRight w:val="0"/>
          <w:marTop w:val="0"/>
          <w:marBottom w:val="0"/>
          <w:divBdr>
            <w:top w:val="none" w:sz="0" w:space="0" w:color="auto"/>
            <w:left w:val="none" w:sz="0" w:space="0" w:color="auto"/>
            <w:bottom w:val="none" w:sz="0" w:space="0" w:color="auto"/>
            <w:right w:val="none" w:sz="0" w:space="0" w:color="auto"/>
          </w:divBdr>
        </w:div>
        <w:div w:id="1790973027">
          <w:marLeft w:val="0"/>
          <w:marRight w:val="0"/>
          <w:marTop w:val="0"/>
          <w:marBottom w:val="0"/>
          <w:divBdr>
            <w:top w:val="none" w:sz="0" w:space="0" w:color="auto"/>
            <w:left w:val="none" w:sz="0" w:space="0" w:color="auto"/>
            <w:bottom w:val="none" w:sz="0" w:space="0" w:color="auto"/>
            <w:right w:val="none" w:sz="0" w:space="0" w:color="auto"/>
          </w:divBdr>
        </w:div>
        <w:div w:id="792015137">
          <w:marLeft w:val="0"/>
          <w:marRight w:val="0"/>
          <w:marTop w:val="0"/>
          <w:marBottom w:val="0"/>
          <w:divBdr>
            <w:top w:val="none" w:sz="0" w:space="0" w:color="auto"/>
            <w:left w:val="none" w:sz="0" w:space="0" w:color="auto"/>
            <w:bottom w:val="none" w:sz="0" w:space="0" w:color="auto"/>
            <w:right w:val="none" w:sz="0" w:space="0" w:color="auto"/>
          </w:divBdr>
        </w:div>
        <w:div w:id="1424302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287a0e-2545-4f7e-b2ac-762f70c8893d" xsi:nil="true"/>
    <lcf76f155ced4ddcb4097134ff3c332f xmlns="f42fcb75-7cdc-4fb8-8381-f729e0f37f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743D49E5CB2245A71195198D02EA2D" ma:contentTypeVersion="14" ma:contentTypeDescription="Create a new document." ma:contentTypeScope="" ma:versionID="ad26df67a52f92c890d862214e2e2a9f">
  <xsd:schema xmlns:xsd="http://www.w3.org/2001/XMLSchema" xmlns:xs="http://www.w3.org/2001/XMLSchema" xmlns:p="http://schemas.microsoft.com/office/2006/metadata/properties" xmlns:ns2="f42fcb75-7cdc-4fb8-8381-f729e0f37f93" xmlns:ns3="61287a0e-2545-4f7e-b2ac-762f70c8893d" targetNamespace="http://schemas.microsoft.com/office/2006/metadata/properties" ma:root="true" ma:fieldsID="f5363eb22f17fdde6080bb71639814fb" ns2:_="" ns3:_="">
    <xsd:import namespace="f42fcb75-7cdc-4fb8-8381-f729e0f37f93"/>
    <xsd:import namespace="61287a0e-2545-4f7e-b2ac-762f70c889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fcb75-7cdc-4fb8-8381-f729e0f37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108a9c-c60f-4436-8818-bfc3735f3b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287a0e-2545-4f7e-b2ac-762f70c889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8912cf-7c7d-452d-97da-1bd98b7ea3f1}" ma:internalName="TaxCatchAll" ma:showField="CatchAllData" ma:web="61287a0e-2545-4f7e-b2ac-762f70c88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58F08-87A4-4D8D-AF9B-E084C10C03F4}">
  <ds:schemaRefs>
    <ds:schemaRef ds:uri="http://schemas.microsoft.com/office/2006/metadata/properties"/>
    <ds:schemaRef ds:uri="http://schemas.microsoft.com/office/infopath/2007/PartnerControls"/>
    <ds:schemaRef ds:uri="61287a0e-2545-4f7e-b2ac-762f70c8893d"/>
    <ds:schemaRef ds:uri="f42fcb75-7cdc-4fb8-8381-f729e0f37f93"/>
  </ds:schemaRefs>
</ds:datastoreItem>
</file>

<file path=customXml/itemProps2.xml><?xml version="1.0" encoding="utf-8"?>
<ds:datastoreItem xmlns:ds="http://schemas.openxmlformats.org/officeDocument/2006/customXml" ds:itemID="{5B08834C-0BE6-43BD-8064-C0B7BCB5AFD1}">
  <ds:schemaRefs>
    <ds:schemaRef ds:uri="http://schemas.microsoft.com/sharepoint/v3/contenttype/forms"/>
  </ds:schemaRefs>
</ds:datastoreItem>
</file>

<file path=customXml/itemProps3.xml><?xml version="1.0" encoding="utf-8"?>
<ds:datastoreItem xmlns:ds="http://schemas.openxmlformats.org/officeDocument/2006/customXml" ds:itemID="{A516198E-3CEB-4F3B-AA1D-CA67AB7B0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fcb75-7cdc-4fb8-8381-f729e0f37f93"/>
    <ds:schemaRef ds:uri="61287a0e-2545-4f7e-b2ac-762f70c88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Mead</dc:creator>
  <cp:keywords/>
  <dc:description/>
  <cp:lastModifiedBy>Chynna Hirasaki</cp:lastModifiedBy>
  <cp:revision>6</cp:revision>
  <dcterms:created xsi:type="dcterms:W3CDTF">2025-05-19T13:07:00Z</dcterms:created>
  <dcterms:modified xsi:type="dcterms:W3CDTF">2025-06-10T18:06:00Z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0x01010057743D49E5CB2245A71195198D02EA2D</vt:lpwstr>
  </property>
  <property fmtid="{D5CDD505-2E9C-101B-9397-08002B2CF9AE}" pid="3" name="MediaServiceImageTags">
    <vt:lpwstr/>
  </property>
</Properties>
</file>